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15C929" w14:textId="77777777" w:rsidR="00B62D69" w:rsidRDefault="00A27B9A">
      <w:pPr>
        <w:widowControl w:val="0"/>
      </w:pPr>
      <w:r>
        <w:t xml:space="preserve">WHPE Physical Education Teacher of the Year/ Nomination Questions </w:t>
      </w:r>
    </w:p>
    <w:p w14:paraId="1AD31D23" w14:textId="77777777" w:rsidR="00B62D69" w:rsidRDefault="00B62D69">
      <w:pPr>
        <w:widowControl w:val="0"/>
        <w:spacing w:before="6" w:line="229" w:lineRule="auto"/>
        <w:ind w:left="133" w:right="135"/>
      </w:pPr>
    </w:p>
    <w:p w14:paraId="30118947" w14:textId="747D6FF4" w:rsidR="00B62D69" w:rsidRDefault="00A27B9A">
      <w:r>
        <w:t xml:space="preserve">Applicants are to respond to these questions writing in ‘first person’ with text outlining </w:t>
      </w:r>
      <w:r w:rsidR="00D13AD2">
        <w:t>thei</w:t>
      </w:r>
      <w:r>
        <w:t>r qualifications for each question using no more than two typed pages per question, Calibri 11 font (</w:t>
      </w:r>
      <w:r w:rsidR="00D13AD2">
        <w:t xml:space="preserve">a </w:t>
      </w:r>
      <w:bookmarkStart w:id="0" w:name="_GoBack"/>
      <w:bookmarkEnd w:id="0"/>
      <w:r>
        <w:t>total of 10 pages)</w:t>
      </w:r>
      <w:r w:rsidR="00D13AD2">
        <w:t>,</w:t>
      </w:r>
      <w:r>
        <w:t xml:space="preserve"> offering evidence relevant to that criteri</w:t>
      </w:r>
      <w:r>
        <w:t xml:space="preserve">a. </w:t>
      </w:r>
    </w:p>
    <w:p w14:paraId="2BCC4029" w14:textId="77777777" w:rsidR="00B62D69" w:rsidRDefault="00A27B9A">
      <w:r>
        <w:t>Answers must be sent to the WHPE Office, Attn: Association Manager by March 15 of the year of the nomination to be eligible for the award during the annual WHPE Awards’ Ceremony during the convention.</w:t>
      </w:r>
    </w:p>
    <w:p w14:paraId="55C636CA" w14:textId="77777777" w:rsidR="00B62D69" w:rsidRDefault="00B62D69">
      <w:pPr>
        <w:widowControl w:val="0"/>
        <w:spacing w:before="6" w:line="229" w:lineRule="auto"/>
        <w:ind w:left="133" w:right="135"/>
      </w:pPr>
    </w:p>
    <w:p w14:paraId="3030D1AE" w14:textId="77777777" w:rsidR="00B62D69" w:rsidRDefault="00A27B9A">
      <w:pPr>
        <w:numPr>
          <w:ilvl w:val="0"/>
          <w:numId w:val="1"/>
        </w:numPr>
        <w:rPr>
          <w:b/>
        </w:rPr>
      </w:pPr>
      <w:r>
        <w:t>Co</w:t>
      </w:r>
      <w:r>
        <w:rPr>
          <w:b/>
        </w:rPr>
        <w:t>nducts a comprehensive and diverse physical educ</w:t>
      </w:r>
      <w:r>
        <w:rPr>
          <w:b/>
        </w:rPr>
        <w:t>ation program that utilizes the Essential Components of Physical Education as reflected in the SHAPE America National Standards and Grade-level outcomes for K-12 Physical Education and other best practices.</w:t>
      </w:r>
    </w:p>
    <w:p w14:paraId="5BE8C212" w14:textId="77777777" w:rsidR="00B62D69" w:rsidRDefault="00A27B9A">
      <w:r>
        <w:t xml:space="preserve"> </w:t>
      </w:r>
    </w:p>
    <w:p w14:paraId="0B6A1FC8" w14:textId="0AAE4593" w:rsidR="00B62D69" w:rsidRDefault="00A27B9A">
      <w:pPr>
        <w:ind w:left="720"/>
      </w:pPr>
      <w:r>
        <w:t xml:space="preserve">Supporting Guidelines:  Applicant demonstrates </w:t>
      </w:r>
      <w:r>
        <w:t>how the individual intentionally prepares students for a lifetime of physically active habits.  T</w:t>
      </w:r>
      <w:r w:rsidR="00D13AD2">
        <w:t>he t</w:t>
      </w:r>
      <w:r>
        <w:t>eacher adheres to the guidelines outlined in the three guiding documents, including implementing a standards-based curriculum, and clearly articulates how this</w:t>
      </w:r>
      <w:r>
        <w:t xml:space="preserve"> is accomplished.</w:t>
      </w:r>
    </w:p>
    <w:p w14:paraId="0151FD13" w14:textId="77777777" w:rsidR="00B62D69" w:rsidRDefault="00A27B9A">
      <w:pPr>
        <w:ind w:left="720"/>
      </w:pPr>
      <w:r>
        <w:t xml:space="preserve">    </w:t>
      </w:r>
    </w:p>
    <w:p w14:paraId="416664F8" w14:textId="77777777" w:rsidR="00B62D69" w:rsidRDefault="00A27B9A">
      <w:pPr>
        <w:numPr>
          <w:ilvl w:val="0"/>
          <w:numId w:val="1"/>
        </w:numPr>
        <w:rPr>
          <w:b/>
        </w:rPr>
      </w:pPr>
      <w:r>
        <w:rPr>
          <w:b/>
        </w:rPr>
        <w:t xml:space="preserve">Utilizes various teaching methodologies and appropriate instructional practices indicated within agreed-upon professional standards. </w:t>
      </w:r>
    </w:p>
    <w:p w14:paraId="103C583D" w14:textId="77777777" w:rsidR="00B62D69" w:rsidRDefault="00B62D69">
      <w:pPr>
        <w:ind w:left="400"/>
      </w:pPr>
    </w:p>
    <w:p w14:paraId="7611C871" w14:textId="77777777" w:rsidR="00B62D69" w:rsidRDefault="00A27B9A">
      <w:pPr>
        <w:ind w:left="1120"/>
      </w:pPr>
      <w:r>
        <w:t>Supporting Guidelines:  Applicant demonstrates a commitment to creating a learning environment tha</w:t>
      </w:r>
      <w:r>
        <w:t>t is welcoming to all students regardless of ability and that instructional strategies are inclusive. Curriculum and assessments follow National Standards and guidelines and utilize the most current practices.  Applicant conveys how his/her teaching method</w:t>
      </w:r>
      <w:r>
        <w:t>s have evolved to meet the needs of each student as a result of personal growth, professional development, and where appropriate, advocacy.</w:t>
      </w:r>
    </w:p>
    <w:p w14:paraId="23437E4E" w14:textId="77777777" w:rsidR="00B62D69" w:rsidRDefault="00B62D69"/>
    <w:p w14:paraId="6F51357F" w14:textId="77777777" w:rsidR="00B62D69" w:rsidRDefault="00A27B9A">
      <w:pPr>
        <w:rPr>
          <w:b/>
        </w:rPr>
      </w:pPr>
      <w:r>
        <w:t>3</w:t>
      </w:r>
      <w:r>
        <w:rPr>
          <w:b/>
        </w:rPr>
        <w:t>.  Engages in culturally responsive instructional practices.</w:t>
      </w:r>
    </w:p>
    <w:p w14:paraId="197E4E10" w14:textId="77777777" w:rsidR="00B62D69" w:rsidRDefault="00B62D69">
      <w:pPr>
        <w:ind w:left="400"/>
      </w:pPr>
    </w:p>
    <w:p w14:paraId="1D857848" w14:textId="5AAFD5C4" w:rsidR="00B62D69" w:rsidRDefault="00A27B9A">
      <w:pPr>
        <w:ind w:left="1120"/>
      </w:pPr>
      <w:r>
        <w:t>Supporting Guidelines:  Applicant demonstrates the a</w:t>
      </w:r>
      <w:r>
        <w:t xml:space="preserve">bility to create culturally sensitive lessons that promote and encourage inclusion, support emotional development, and open the door to creating lasting student relationships.  Lessons and teaching methods utilize new innovative ideas and solve a </w:t>
      </w:r>
      <w:r>
        <w:t>meaningf</w:t>
      </w:r>
      <w:r>
        <w:t>ul problem in which a current solution does not exist. This new method creates value in both the learning and overall teaching environment.</w:t>
      </w:r>
    </w:p>
    <w:p w14:paraId="24642C0A" w14:textId="77777777" w:rsidR="00B62D69" w:rsidRDefault="00B62D69">
      <w:pPr>
        <w:ind w:left="720"/>
      </w:pPr>
    </w:p>
    <w:p w14:paraId="31FA32DB" w14:textId="77777777" w:rsidR="00B62D69" w:rsidRDefault="00A27B9A">
      <w:pPr>
        <w:keepNext/>
        <w:spacing w:before="20"/>
        <w:rPr>
          <w:b/>
        </w:rPr>
      </w:pPr>
      <w:r>
        <w:t>4</w:t>
      </w:r>
      <w:r>
        <w:rPr>
          <w:b/>
        </w:rPr>
        <w:t>.  Describe your utilization of student assessment, one of the Essential Components of Physical Education, that re</w:t>
      </w:r>
      <w:r>
        <w:rPr>
          <w:b/>
        </w:rPr>
        <w:t>flects inclusion and social justice in your educational setting.</w:t>
      </w:r>
    </w:p>
    <w:p w14:paraId="667DD060" w14:textId="77777777" w:rsidR="00B62D69" w:rsidRDefault="00B62D69">
      <w:pPr>
        <w:keepNext/>
        <w:spacing w:before="20"/>
        <w:rPr>
          <w:b/>
        </w:rPr>
      </w:pPr>
    </w:p>
    <w:p w14:paraId="03AFE465" w14:textId="318E571A" w:rsidR="00B62D69" w:rsidRDefault="00A27B9A">
      <w:pPr>
        <w:keepNext/>
        <w:spacing w:before="20"/>
        <w:ind w:left="720"/>
      </w:pPr>
      <w:r>
        <w:t>Supporting guidelines:  Pre</w:t>
      </w:r>
      <w:r w:rsidR="00D13AD2">
        <w:t>-a</w:t>
      </w:r>
      <w:r>
        <w:t>ssessments are used to determine students’ prior knowledge and help guide future instruction.  Applicant uses formative assessments that are appropriate to guide i</w:t>
      </w:r>
      <w:r>
        <w:t>nstruction and monitor the progress of student learning.  Applicant uses summative assessment to measure attainment of curricular goals and determine gaps within learning.</w:t>
      </w:r>
    </w:p>
    <w:p w14:paraId="0DD9B14A" w14:textId="77777777" w:rsidR="00B62D69" w:rsidRDefault="00B62D69">
      <w:pPr>
        <w:keepNext/>
        <w:spacing w:before="20"/>
        <w:ind w:left="720"/>
        <w:rPr>
          <w:b/>
        </w:rPr>
      </w:pPr>
    </w:p>
    <w:p w14:paraId="73731901" w14:textId="77777777" w:rsidR="00B62D69" w:rsidRDefault="00A27B9A">
      <w:pPr>
        <w:keepNext/>
        <w:spacing w:before="20"/>
        <w:rPr>
          <w:b/>
        </w:rPr>
      </w:pPr>
      <w:r>
        <w:rPr>
          <w:b/>
        </w:rPr>
        <w:t>5.  Advocates for and supports the profession, as evidenced through partnerships, p</w:t>
      </w:r>
      <w:r>
        <w:rPr>
          <w:b/>
        </w:rPr>
        <w:t>articipation in professional organizations, and professional learning opportunities.</w:t>
      </w:r>
    </w:p>
    <w:p w14:paraId="21933340" w14:textId="77777777" w:rsidR="00B62D69" w:rsidRDefault="00B62D69">
      <w:pPr>
        <w:ind w:left="400"/>
        <w:rPr>
          <w:b/>
        </w:rPr>
      </w:pPr>
    </w:p>
    <w:p w14:paraId="2721E9B4" w14:textId="77777777" w:rsidR="00B62D69" w:rsidRDefault="00A27B9A">
      <w:pPr>
        <w:ind w:left="1120"/>
      </w:pPr>
      <w:r>
        <w:t>Supporting Guidelines: Applicant demonstrates a willingness to advance his/her career by completing professional development opportunities through school-sponsored resources or on their own account.  Clearly outlines skills as a leader/ role model for peer</w:t>
      </w:r>
      <w:r>
        <w:t>s which is evident in oriented participation and where applicable, possessing an understanding of the subject by serving as an author for educational publications.</w:t>
      </w:r>
    </w:p>
    <w:p w14:paraId="5B0F74DB" w14:textId="77777777" w:rsidR="00B62D69" w:rsidRDefault="00B62D69">
      <w:pPr>
        <w:keepNext/>
        <w:spacing w:before="20"/>
        <w:ind w:left="720"/>
        <w:sectPr w:rsidR="00B62D6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pPr>
    </w:p>
    <w:p w14:paraId="7B02E6EC" w14:textId="77777777" w:rsidR="00B62D69" w:rsidRDefault="00B62D69">
      <w:pPr>
        <w:ind w:left="1120"/>
      </w:pPr>
    </w:p>
    <w:p w14:paraId="3961E51E" w14:textId="77777777" w:rsidR="00B62D69" w:rsidRDefault="00A27B9A">
      <w:pPr>
        <w:ind w:left="720"/>
      </w:pPr>
      <w:r>
        <w:t xml:space="preserve"> </w:t>
      </w:r>
    </w:p>
    <w:p w14:paraId="7B9F93A0" w14:textId="77777777" w:rsidR="00B62D69" w:rsidRDefault="00A27B9A">
      <w:r>
        <w:t xml:space="preserve">         </w:t>
      </w:r>
    </w:p>
    <w:p w14:paraId="33EF5843" w14:textId="77777777" w:rsidR="00B62D69" w:rsidRDefault="00B62D69">
      <w:pPr>
        <w:widowControl w:val="0"/>
        <w:ind w:left="130"/>
      </w:pPr>
    </w:p>
    <w:p w14:paraId="0019D4FD" w14:textId="77777777" w:rsidR="00B62D69" w:rsidRDefault="00B62D69">
      <w:pPr>
        <w:widowControl w:val="0"/>
        <w:ind w:left="130"/>
      </w:pPr>
    </w:p>
    <w:p w14:paraId="7A0CAECB" w14:textId="77777777" w:rsidR="00B62D69" w:rsidRDefault="00A27B9A">
      <w:pPr>
        <w:widowControl w:val="0"/>
        <w:ind w:left="130"/>
      </w:pPr>
      <w:r>
        <w:t xml:space="preserve">WHPE Physical Education Teacher of the Year Scoring Rubric </w:t>
      </w:r>
    </w:p>
    <w:p w14:paraId="539AAD7D" w14:textId="77777777" w:rsidR="00B62D69" w:rsidRDefault="00A27B9A">
      <w:pPr>
        <w:widowControl w:val="0"/>
        <w:spacing w:before="271"/>
        <w:ind w:left="130"/>
      </w:pPr>
      <w:r>
        <w:t xml:space="preserve">Applicant Name: </w:t>
      </w:r>
    </w:p>
    <w:p w14:paraId="6FFE72BE" w14:textId="77777777" w:rsidR="00B62D69" w:rsidRDefault="00A27B9A">
      <w:pPr>
        <w:widowControl w:val="0"/>
        <w:ind w:left="130"/>
      </w:pPr>
      <w:r>
        <w:t># of yrs. as WHPE members:</w:t>
      </w:r>
    </w:p>
    <w:tbl>
      <w:tblPr>
        <w:tblStyle w:val="a"/>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7379"/>
      </w:tblGrid>
      <w:tr w:rsidR="00B62D69" w14:paraId="70EFEEC1" w14:textId="77777777">
        <w:trPr>
          <w:trHeight w:val="300"/>
        </w:trPr>
        <w:tc>
          <w:tcPr>
            <w:tcW w:w="1260" w:type="dxa"/>
            <w:shd w:val="clear" w:color="auto" w:fill="auto"/>
            <w:tcMar>
              <w:top w:w="100" w:type="dxa"/>
              <w:left w:w="100" w:type="dxa"/>
              <w:bottom w:w="100" w:type="dxa"/>
              <w:right w:w="100" w:type="dxa"/>
            </w:tcMar>
          </w:tcPr>
          <w:p w14:paraId="0F84D72A" w14:textId="77777777" w:rsidR="00B62D69" w:rsidRDefault="00A27B9A">
            <w:pPr>
              <w:widowControl w:val="0"/>
              <w:ind w:left="149"/>
            </w:pPr>
            <w:r>
              <w:t xml:space="preserve">Points </w:t>
            </w:r>
          </w:p>
        </w:tc>
        <w:tc>
          <w:tcPr>
            <w:tcW w:w="7379" w:type="dxa"/>
            <w:shd w:val="clear" w:color="auto" w:fill="auto"/>
            <w:tcMar>
              <w:top w:w="100" w:type="dxa"/>
              <w:left w:w="100" w:type="dxa"/>
              <w:bottom w:w="100" w:type="dxa"/>
              <w:right w:w="100" w:type="dxa"/>
            </w:tcMar>
          </w:tcPr>
          <w:p w14:paraId="763F2EB6" w14:textId="77777777" w:rsidR="00B62D69" w:rsidRDefault="00A27B9A">
            <w:pPr>
              <w:widowControl w:val="0"/>
              <w:ind w:left="2342"/>
            </w:pPr>
            <w:r>
              <w:t>Criteria</w:t>
            </w:r>
          </w:p>
        </w:tc>
      </w:tr>
      <w:tr w:rsidR="00B62D69" w14:paraId="5F2E3827" w14:textId="77777777">
        <w:trPr>
          <w:trHeight w:val="1119"/>
        </w:trPr>
        <w:tc>
          <w:tcPr>
            <w:tcW w:w="1260" w:type="dxa"/>
            <w:shd w:val="clear" w:color="auto" w:fill="auto"/>
            <w:tcMar>
              <w:top w:w="100" w:type="dxa"/>
              <w:left w:w="100" w:type="dxa"/>
              <w:bottom w:w="100" w:type="dxa"/>
              <w:right w:w="100" w:type="dxa"/>
            </w:tcMar>
          </w:tcPr>
          <w:p w14:paraId="3FA75F05" w14:textId="77777777" w:rsidR="00B62D69" w:rsidRDefault="00B62D69">
            <w:pPr>
              <w:widowControl w:val="0"/>
            </w:pPr>
          </w:p>
        </w:tc>
        <w:tc>
          <w:tcPr>
            <w:tcW w:w="7379" w:type="dxa"/>
            <w:shd w:val="clear" w:color="auto" w:fill="auto"/>
            <w:tcMar>
              <w:top w:w="100" w:type="dxa"/>
              <w:left w:w="100" w:type="dxa"/>
              <w:bottom w:w="100" w:type="dxa"/>
              <w:right w:w="100" w:type="dxa"/>
            </w:tcMar>
          </w:tcPr>
          <w:p w14:paraId="12F514DE" w14:textId="77777777" w:rsidR="00B62D69" w:rsidRDefault="00A27B9A">
            <w:pPr>
              <w:widowControl w:val="0"/>
              <w:spacing w:line="228" w:lineRule="auto"/>
              <w:ind w:left="140" w:right="387" w:hanging="4"/>
            </w:pPr>
            <w:r>
              <w:t xml:space="preserve">The application and criteria essays are neat, and demonstrate an effective writing style utilizing professional terminology and appropriate use of grammar. </w:t>
            </w:r>
            <w:r>
              <w:t>Yes = 3 points Partial = 1 No = 0 points</w:t>
            </w:r>
          </w:p>
        </w:tc>
      </w:tr>
      <w:tr w:rsidR="00B62D69" w14:paraId="6FE54496" w14:textId="77777777">
        <w:trPr>
          <w:trHeight w:val="3040"/>
        </w:trPr>
        <w:tc>
          <w:tcPr>
            <w:tcW w:w="1260" w:type="dxa"/>
            <w:shd w:val="clear" w:color="auto" w:fill="auto"/>
            <w:tcMar>
              <w:top w:w="100" w:type="dxa"/>
              <w:left w:w="100" w:type="dxa"/>
              <w:bottom w:w="100" w:type="dxa"/>
              <w:right w:w="100" w:type="dxa"/>
            </w:tcMar>
          </w:tcPr>
          <w:p w14:paraId="0B2D1028" w14:textId="77777777" w:rsidR="00B62D69" w:rsidRDefault="00B62D69">
            <w:pPr>
              <w:widowControl w:val="0"/>
              <w:rPr>
                <w:b/>
              </w:rPr>
            </w:pPr>
          </w:p>
        </w:tc>
        <w:tc>
          <w:tcPr>
            <w:tcW w:w="7379" w:type="dxa"/>
            <w:shd w:val="clear" w:color="auto" w:fill="auto"/>
            <w:tcMar>
              <w:top w:w="100" w:type="dxa"/>
              <w:left w:w="100" w:type="dxa"/>
              <w:bottom w:w="100" w:type="dxa"/>
              <w:right w:w="100" w:type="dxa"/>
            </w:tcMar>
          </w:tcPr>
          <w:p w14:paraId="5AD175CB" w14:textId="77777777" w:rsidR="00B62D69" w:rsidRDefault="00A27B9A">
            <w:pPr>
              <w:widowControl w:val="0"/>
              <w:ind w:left="1003"/>
              <w:rPr>
                <w:b/>
              </w:rPr>
            </w:pPr>
            <w:r>
              <w:rPr>
                <w:b/>
              </w:rPr>
              <w:t xml:space="preserve">Scoring rubric for the following criteria: </w:t>
            </w:r>
          </w:p>
          <w:p w14:paraId="30A0CD7B" w14:textId="77777777" w:rsidR="00B62D69" w:rsidRDefault="00A27B9A">
            <w:r>
              <w:t xml:space="preserve">4=Presented relevant, detailed, concrete evidence which clearly, convincingly, and thoroughly responds to each component of the stated criteria, 3=Presented appropriate evidence which clearly </w:t>
            </w:r>
          </w:p>
          <w:p w14:paraId="23F7AE45" w14:textId="77777777" w:rsidR="00B62D69" w:rsidRDefault="00A27B9A">
            <w:r>
              <w:t>and consistently addresses the majority of the targeted criteri</w:t>
            </w:r>
            <w:r>
              <w:t>a, 2=Presented evidence to address parts of the stated criteria; or the evidence does not clearly, consistently, or convincingly address all of the components of the targeted criteria, 1=Presented minimal or irrelevant evidence, which does not clearly or c</w:t>
            </w:r>
            <w:r>
              <w:t>onvincingly address the stated criteria, and/or has substantially omitted portions of the criteria.</w:t>
            </w:r>
          </w:p>
        </w:tc>
      </w:tr>
      <w:tr w:rsidR="00B62D69" w14:paraId="08BE0145" w14:textId="77777777">
        <w:trPr>
          <w:trHeight w:val="1400"/>
        </w:trPr>
        <w:tc>
          <w:tcPr>
            <w:tcW w:w="1260" w:type="dxa"/>
            <w:shd w:val="clear" w:color="auto" w:fill="auto"/>
            <w:tcMar>
              <w:top w:w="100" w:type="dxa"/>
              <w:left w:w="100" w:type="dxa"/>
              <w:bottom w:w="100" w:type="dxa"/>
              <w:right w:w="100" w:type="dxa"/>
            </w:tcMar>
          </w:tcPr>
          <w:p w14:paraId="49851F2F" w14:textId="77777777" w:rsidR="00B62D69" w:rsidRDefault="00B62D69">
            <w:pPr>
              <w:widowControl w:val="0"/>
            </w:pPr>
          </w:p>
        </w:tc>
        <w:tc>
          <w:tcPr>
            <w:tcW w:w="7379" w:type="dxa"/>
            <w:shd w:val="clear" w:color="auto" w:fill="auto"/>
            <w:tcMar>
              <w:top w:w="100" w:type="dxa"/>
              <w:left w:w="100" w:type="dxa"/>
              <w:bottom w:w="100" w:type="dxa"/>
              <w:right w:w="100" w:type="dxa"/>
            </w:tcMar>
          </w:tcPr>
          <w:p w14:paraId="130A2F1C" w14:textId="77777777" w:rsidR="00B62D69" w:rsidRDefault="00A27B9A">
            <w:pPr>
              <w:widowControl w:val="0"/>
              <w:spacing w:line="227" w:lineRule="auto"/>
              <w:ind w:left="140" w:right="264" w:firstLine="8"/>
            </w:pPr>
            <w:r>
              <w:t xml:space="preserve">1. Conducts a comprehensive and diverse physical education program that utilizes the Essential Components of Physical Education as reflected in the SHAPE </w:t>
            </w:r>
            <w:r>
              <w:t>America National Standards and Grade-level outcomes for K-12 Physical Education and other best practices.</w:t>
            </w:r>
          </w:p>
        </w:tc>
      </w:tr>
      <w:tr w:rsidR="00B62D69" w14:paraId="203ECE2A" w14:textId="77777777">
        <w:trPr>
          <w:trHeight w:val="560"/>
        </w:trPr>
        <w:tc>
          <w:tcPr>
            <w:tcW w:w="1260" w:type="dxa"/>
            <w:shd w:val="clear" w:color="auto" w:fill="auto"/>
            <w:tcMar>
              <w:top w:w="100" w:type="dxa"/>
              <w:left w:w="100" w:type="dxa"/>
              <w:bottom w:w="100" w:type="dxa"/>
              <w:right w:w="100" w:type="dxa"/>
            </w:tcMar>
          </w:tcPr>
          <w:p w14:paraId="7C435B1A" w14:textId="77777777" w:rsidR="00B62D69" w:rsidRDefault="00B62D69">
            <w:pPr>
              <w:widowControl w:val="0"/>
            </w:pPr>
          </w:p>
        </w:tc>
        <w:tc>
          <w:tcPr>
            <w:tcW w:w="7379" w:type="dxa"/>
            <w:shd w:val="clear" w:color="auto" w:fill="auto"/>
            <w:tcMar>
              <w:top w:w="100" w:type="dxa"/>
              <w:left w:w="100" w:type="dxa"/>
              <w:bottom w:w="100" w:type="dxa"/>
              <w:right w:w="100" w:type="dxa"/>
            </w:tcMar>
          </w:tcPr>
          <w:p w14:paraId="3F0AE6A3" w14:textId="77777777" w:rsidR="00B62D69" w:rsidRDefault="00A27B9A">
            <w:pPr>
              <w:widowControl w:val="0"/>
              <w:spacing w:line="222" w:lineRule="auto"/>
              <w:ind w:left="146" w:right="911" w:hanging="4"/>
            </w:pPr>
            <w:r>
              <w:t xml:space="preserve">2. Utilizes various teaching methodologies and appropriate instructional practices indicated within agreed-upon professional standards. </w:t>
            </w:r>
          </w:p>
        </w:tc>
      </w:tr>
      <w:tr w:rsidR="00B62D69" w14:paraId="20F78239" w14:textId="77777777">
        <w:trPr>
          <w:trHeight w:val="300"/>
        </w:trPr>
        <w:tc>
          <w:tcPr>
            <w:tcW w:w="1260" w:type="dxa"/>
            <w:shd w:val="clear" w:color="auto" w:fill="auto"/>
            <w:tcMar>
              <w:top w:w="100" w:type="dxa"/>
              <w:left w:w="100" w:type="dxa"/>
              <w:bottom w:w="100" w:type="dxa"/>
              <w:right w:w="100" w:type="dxa"/>
            </w:tcMar>
          </w:tcPr>
          <w:p w14:paraId="2477D7A8" w14:textId="77777777" w:rsidR="00B62D69" w:rsidRDefault="00B62D69">
            <w:pPr>
              <w:widowControl w:val="0"/>
            </w:pPr>
          </w:p>
        </w:tc>
        <w:tc>
          <w:tcPr>
            <w:tcW w:w="7379" w:type="dxa"/>
            <w:shd w:val="clear" w:color="auto" w:fill="auto"/>
            <w:tcMar>
              <w:top w:w="100" w:type="dxa"/>
              <w:left w:w="100" w:type="dxa"/>
              <w:bottom w:w="100" w:type="dxa"/>
              <w:right w:w="100" w:type="dxa"/>
            </w:tcMar>
          </w:tcPr>
          <w:p w14:paraId="24991CED" w14:textId="77777777" w:rsidR="00B62D69" w:rsidRDefault="00A27B9A">
            <w:pPr>
              <w:widowControl w:val="0"/>
              <w:ind w:left="139"/>
            </w:pPr>
            <w:r>
              <w:t xml:space="preserve">3. </w:t>
            </w:r>
            <w:r>
              <w:t>Engages in culturally responsive instructional practices.</w:t>
            </w:r>
          </w:p>
        </w:tc>
      </w:tr>
      <w:tr w:rsidR="00B62D69" w14:paraId="7BE22866" w14:textId="77777777">
        <w:trPr>
          <w:trHeight w:val="840"/>
        </w:trPr>
        <w:tc>
          <w:tcPr>
            <w:tcW w:w="1260" w:type="dxa"/>
            <w:shd w:val="clear" w:color="auto" w:fill="auto"/>
            <w:tcMar>
              <w:top w:w="100" w:type="dxa"/>
              <w:left w:w="100" w:type="dxa"/>
              <w:bottom w:w="100" w:type="dxa"/>
              <w:right w:w="100" w:type="dxa"/>
            </w:tcMar>
          </w:tcPr>
          <w:p w14:paraId="524B7B2E" w14:textId="77777777" w:rsidR="00B62D69" w:rsidRDefault="00B62D69">
            <w:pPr>
              <w:widowControl w:val="0"/>
            </w:pPr>
          </w:p>
        </w:tc>
        <w:tc>
          <w:tcPr>
            <w:tcW w:w="7379" w:type="dxa"/>
            <w:shd w:val="clear" w:color="auto" w:fill="auto"/>
            <w:tcMar>
              <w:top w:w="100" w:type="dxa"/>
              <w:left w:w="100" w:type="dxa"/>
              <w:bottom w:w="100" w:type="dxa"/>
              <w:right w:w="100" w:type="dxa"/>
            </w:tcMar>
          </w:tcPr>
          <w:p w14:paraId="34C16F93" w14:textId="77777777" w:rsidR="00B62D69" w:rsidRDefault="00A27B9A">
            <w:pPr>
              <w:widowControl w:val="0"/>
              <w:spacing w:line="225" w:lineRule="auto"/>
              <w:ind w:left="135" w:right="73" w:hanging="4"/>
            </w:pPr>
            <w:r>
              <w:t>4. Describe your utilization of student assessment, one of the Essential Components of Physical Education, that reflects inclusion and social justice in your educational setting.</w:t>
            </w:r>
          </w:p>
        </w:tc>
      </w:tr>
      <w:tr w:rsidR="00B62D69" w14:paraId="686930C6" w14:textId="77777777">
        <w:trPr>
          <w:trHeight w:val="839"/>
        </w:trPr>
        <w:tc>
          <w:tcPr>
            <w:tcW w:w="1260" w:type="dxa"/>
            <w:shd w:val="clear" w:color="auto" w:fill="auto"/>
            <w:tcMar>
              <w:top w:w="100" w:type="dxa"/>
              <w:left w:w="100" w:type="dxa"/>
              <w:bottom w:w="100" w:type="dxa"/>
              <w:right w:w="100" w:type="dxa"/>
            </w:tcMar>
          </w:tcPr>
          <w:p w14:paraId="2E34D4A1" w14:textId="77777777" w:rsidR="00B62D69" w:rsidRDefault="00B62D69">
            <w:pPr>
              <w:widowControl w:val="0"/>
            </w:pPr>
          </w:p>
        </w:tc>
        <w:tc>
          <w:tcPr>
            <w:tcW w:w="7379" w:type="dxa"/>
            <w:shd w:val="clear" w:color="auto" w:fill="auto"/>
            <w:tcMar>
              <w:top w:w="100" w:type="dxa"/>
              <w:left w:w="100" w:type="dxa"/>
              <w:bottom w:w="100" w:type="dxa"/>
              <w:right w:w="100" w:type="dxa"/>
            </w:tcMar>
          </w:tcPr>
          <w:p w14:paraId="3BCDFCD4" w14:textId="77777777" w:rsidR="00B62D69" w:rsidRDefault="00A27B9A">
            <w:pPr>
              <w:widowControl w:val="0"/>
              <w:spacing w:line="225" w:lineRule="auto"/>
              <w:ind w:left="133" w:right="476" w:firstLine="6"/>
            </w:pPr>
            <w:r>
              <w:t xml:space="preserve">5. </w:t>
            </w:r>
            <w:r>
              <w:t>Advocates for and supports the profession, as evidenced through partnerships, participation in professional organizations, and professional learning opportunities.</w:t>
            </w:r>
          </w:p>
        </w:tc>
      </w:tr>
      <w:tr w:rsidR="00B62D69" w14:paraId="24C3E9E6" w14:textId="77777777">
        <w:trPr>
          <w:trHeight w:val="300"/>
        </w:trPr>
        <w:tc>
          <w:tcPr>
            <w:tcW w:w="1260" w:type="dxa"/>
            <w:shd w:val="clear" w:color="auto" w:fill="auto"/>
            <w:tcMar>
              <w:top w:w="100" w:type="dxa"/>
              <w:left w:w="100" w:type="dxa"/>
              <w:bottom w:w="100" w:type="dxa"/>
              <w:right w:w="100" w:type="dxa"/>
            </w:tcMar>
          </w:tcPr>
          <w:p w14:paraId="2680FB04" w14:textId="77777777" w:rsidR="00B62D69" w:rsidRDefault="00B62D69">
            <w:pPr>
              <w:widowControl w:val="0"/>
            </w:pPr>
          </w:p>
        </w:tc>
        <w:tc>
          <w:tcPr>
            <w:tcW w:w="7379" w:type="dxa"/>
            <w:shd w:val="clear" w:color="auto" w:fill="auto"/>
            <w:tcMar>
              <w:top w:w="100" w:type="dxa"/>
              <w:left w:w="100" w:type="dxa"/>
              <w:bottom w:w="100" w:type="dxa"/>
              <w:right w:w="100" w:type="dxa"/>
            </w:tcMar>
          </w:tcPr>
          <w:p w14:paraId="3D2A8F30" w14:textId="77777777" w:rsidR="00B62D69" w:rsidRDefault="00A27B9A">
            <w:pPr>
              <w:widowControl w:val="0"/>
              <w:ind w:left="149"/>
            </w:pPr>
            <w:r>
              <w:t>Letters of Recommendation: Yes ____ No ____</w:t>
            </w:r>
          </w:p>
        </w:tc>
      </w:tr>
      <w:tr w:rsidR="00B62D69" w14:paraId="141873D6" w14:textId="77777777">
        <w:trPr>
          <w:trHeight w:val="280"/>
        </w:trPr>
        <w:tc>
          <w:tcPr>
            <w:tcW w:w="1260" w:type="dxa"/>
            <w:shd w:val="clear" w:color="auto" w:fill="auto"/>
            <w:tcMar>
              <w:top w:w="100" w:type="dxa"/>
              <w:left w:w="100" w:type="dxa"/>
              <w:bottom w:w="100" w:type="dxa"/>
              <w:right w:w="100" w:type="dxa"/>
            </w:tcMar>
          </w:tcPr>
          <w:p w14:paraId="0AF0DEA5" w14:textId="77777777" w:rsidR="00B62D69" w:rsidRDefault="00A27B9A">
            <w:pPr>
              <w:widowControl w:val="0"/>
              <w:ind w:left="149"/>
            </w:pPr>
            <w:r>
              <w:t xml:space="preserve">Points </w:t>
            </w:r>
          </w:p>
        </w:tc>
        <w:tc>
          <w:tcPr>
            <w:tcW w:w="7379" w:type="dxa"/>
            <w:shd w:val="clear" w:color="auto" w:fill="auto"/>
            <w:tcMar>
              <w:top w:w="100" w:type="dxa"/>
              <w:left w:w="100" w:type="dxa"/>
              <w:bottom w:w="100" w:type="dxa"/>
              <w:right w:w="100" w:type="dxa"/>
            </w:tcMar>
          </w:tcPr>
          <w:p w14:paraId="559A1B5C" w14:textId="77777777" w:rsidR="00B62D69" w:rsidRDefault="00A27B9A">
            <w:pPr>
              <w:widowControl w:val="0"/>
              <w:ind w:left="139"/>
              <w:rPr>
                <w:b/>
              </w:rPr>
            </w:pPr>
            <w:r>
              <w:rPr>
                <w:b/>
              </w:rPr>
              <w:t>Criteria total: _____ Essay total: _____ Final total: _____/23</w:t>
            </w:r>
          </w:p>
        </w:tc>
      </w:tr>
    </w:tbl>
    <w:p w14:paraId="0920A34D" w14:textId="77777777" w:rsidR="00B62D69" w:rsidRDefault="00B62D69">
      <w:pPr>
        <w:widowControl w:val="0"/>
      </w:pPr>
    </w:p>
    <w:p w14:paraId="44256A2F" w14:textId="77777777" w:rsidR="00B62D69" w:rsidRDefault="00B62D69"/>
    <w:sectPr w:rsidR="00B62D69">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942B" w14:textId="77777777" w:rsidR="00A27B9A" w:rsidRDefault="00A27B9A" w:rsidP="00D13AD2">
      <w:r>
        <w:separator/>
      </w:r>
    </w:p>
  </w:endnote>
  <w:endnote w:type="continuationSeparator" w:id="0">
    <w:p w14:paraId="0EEE61A5" w14:textId="77777777" w:rsidR="00A27B9A" w:rsidRDefault="00A27B9A" w:rsidP="00D1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9C04" w14:textId="77777777" w:rsidR="00D13AD2" w:rsidRDefault="00D13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17EC" w14:textId="77777777" w:rsidR="00D13AD2" w:rsidRDefault="00D13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89A2" w14:textId="77777777" w:rsidR="00D13AD2" w:rsidRDefault="00D1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D7CB" w14:textId="77777777" w:rsidR="00A27B9A" w:rsidRDefault="00A27B9A" w:rsidP="00D13AD2">
      <w:r>
        <w:separator/>
      </w:r>
    </w:p>
  </w:footnote>
  <w:footnote w:type="continuationSeparator" w:id="0">
    <w:p w14:paraId="7A6D25D7" w14:textId="77777777" w:rsidR="00A27B9A" w:rsidRDefault="00A27B9A" w:rsidP="00D1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0BD8" w14:textId="77777777" w:rsidR="00D13AD2" w:rsidRDefault="00D13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1070" w14:textId="77777777" w:rsidR="00D13AD2" w:rsidRDefault="00D13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68D2" w14:textId="77777777" w:rsidR="00D13AD2" w:rsidRDefault="00D1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236D5"/>
    <w:multiLevelType w:val="multilevel"/>
    <w:tmpl w:val="8BA476E8"/>
    <w:lvl w:ilvl="0">
      <w:start w:val="1"/>
      <w:numFmt w:val="decimal"/>
      <w:lvlText w:val="%1."/>
      <w:lvlJc w:val="left"/>
      <w:pPr>
        <w:ind w:left="400" w:hanging="400"/>
      </w:pPr>
    </w:lvl>
    <w:lvl w:ilvl="1">
      <w:start w:val="1"/>
      <w:numFmt w:val="lowerLetter"/>
      <w:lvlText w:val="%2."/>
      <w:lvlJc w:val="left"/>
      <w:pPr>
        <w:ind w:left="-4770" w:hanging="360"/>
      </w:pPr>
    </w:lvl>
    <w:lvl w:ilvl="2">
      <w:start w:val="1"/>
      <w:numFmt w:val="lowerRoman"/>
      <w:lvlText w:val="%3."/>
      <w:lvlJc w:val="right"/>
      <w:pPr>
        <w:ind w:left="-4050" w:hanging="180"/>
      </w:pPr>
    </w:lvl>
    <w:lvl w:ilvl="3">
      <w:start w:val="1"/>
      <w:numFmt w:val="decimal"/>
      <w:lvlText w:val="%4."/>
      <w:lvlJc w:val="left"/>
      <w:pPr>
        <w:ind w:left="-3330" w:hanging="360"/>
      </w:pPr>
    </w:lvl>
    <w:lvl w:ilvl="4">
      <w:start w:val="1"/>
      <w:numFmt w:val="lowerLetter"/>
      <w:lvlText w:val="%5."/>
      <w:lvlJc w:val="left"/>
      <w:pPr>
        <w:ind w:left="-2610" w:hanging="360"/>
      </w:pPr>
    </w:lvl>
    <w:lvl w:ilvl="5">
      <w:start w:val="1"/>
      <w:numFmt w:val="lowerRoman"/>
      <w:lvlText w:val="%6."/>
      <w:lvlJc w:val="right"/>
      <w:pPr>
        <w:ind w:left="-1890" w:hanging="180"/>
      </w:pPr>
    </w:lvl>
    <w:lvl w:ilvl="6">
      <w:start w:val="1"/>
      <w:numFmt w:val="decimal"/>
      <w:lvlText w:val="%7."/>
      <w:lvlJc w:val="left"/>
      <w:pPr>
        <w:ind w:left="-1170" w:hanging="360"/>
      </w:pPr>
    </w:lvl>
    <w:lvl w:ilvl="7">
      <w:start w:val="1"/>
      <w:numFmt w:val="lowerLetter"/>
      <w:lvlText w:val="%8."/>
      <w:lvlJc w:val="left"/>
      <w:pPr>
        <w:ind w:left="-450" w:hanging="360"/>
      </w:pPr>
    </w:lvl>
    <w:lvl w:ilvl="8">
      <w:start w:val="1"/>
      <w:numFmt w:val="lowerRoman"/>
      <w:lvlText w:val="%9."/>
      <w:lvlJc w:val="right"/>
      <w:pPr>
        <w:ind w:left="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D69"/>
    <w:rsid w:val="00A27B9A"/>
    <w:rsid w:val="00B62D69"/>
    <w:rsid w:val="00D1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DB6A6"/>
  <w15:docId w15:val="{81B4DF93-AE55-1441-85E1-1E4F9649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3AD2"/>
    <w:pPr>
      <w:tabs>
        <w:tab w:val="center" w:pos="4680"/>
        <w:tab w:val="right" w:pos="9360"/>
      </w:tabs>
    </w:pPr>
  </w:style>
  <w:style w:type="character" w:customStyle="1" w:styleId="HeaderChar">
    <w:name w:val="Header Char"/>
    <w:basedOn w:val="DefaultParagraphFont"/>
    <w:link w:val="Header"/>
    <w:uiPriority w:val="99"/>
    <w:rsid w:val="00D13AD2"/>
  </w:style>
  <w:style w:type="paragraph" w:styleId="Footer">
    <w:name w:val="footer"/>
    <w:basedOn w:val="Normal"/>
    <w:link w:val="FooterChar"/>
    <w:uiPriority w:val="99"/>
    <w:unhideWhenUsed/>
    <w:rsid w:val="00D13AD2"/>
    <w:pPr>
      <w:tabs>
        <w:tab w:val="center" w:pos="4680"/>
        <w:tab w:val="right" w:pos="9360"/>
      </w:tabs>
    </w:pPr>
  </w:style>
  <w:style w:type="character" w:customStyle="1" w:styleId="FooterChar">
    <w:name w:val="Footer Char"/>
    <w:basedOn w:val="DefaultParagraphFont"/>
    <w:link w:val="Footer"/>
    <w:uiPriority w:val="99"/>
    <w:rsid w:val="00D1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2024-12-17T20:28:00Z</dcterms:created>
  <dcterms:modified xsi:type="dcterms:W3CDTF">2024-12-17T20:28:00Z</dcterms:modified>
</cp:coreProperties>
</file>